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Оголошення про проведення відкритого тендеру із закупівлі послуг Регіонального/ої юриста/ки в Чернігівській, Черкаській, Житомирській, Тернопільській, Хмельніцькій, Дніпропетровській, Київській областях                                                                              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0" w:right="17" w:firstLine="283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firstLine="283"/>
        <w:jc w:val="both"/>
        <w:rPr>
          <w:color w:val="222222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Благодійна організація «Благодійний фонд «Стабілізейшен суппорт сервісез» оголошує відкритий тендер на закупівлю послуг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Регіонального/ої юриста/ки в Чернігівській, Черкаській, Житомирській, Тернопільській, Хмельніцькій, Дніпропетровській, Київській областях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в рамках реалізації проекту “United Voices in Action 2.0. Program / Програма «Єднання за ради дії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04">
      <w:pPr>
        <w:widowControl w:val="1"/>
        <w:ind w:firstLine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7" w:firstLine="283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оголошення про тендер:  </w:t>
      </w:r>
      <w:r w:rsidDel="00000000" w:rsidR="00000000" w:rsidRPr="00000000">
        <w:rPr>
          <w:b w:val="1"/>
          <w:sz w:val="24"/>
          <w:szCs w:val="24"/>
          <w:rtl w:val="0"/>
        </w:rPr>
        <w:t xml:space="preserve">23 січня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2025 року</w:t>
      </w:r>
    </w:p>
    <w:p w:rsidR="00000000" w:rsidDel="00000000" w:rsidP="00000000" w:rsidRDefault="00000000" w:rsidRPr="00000000" w14:paraId="00000006">
      <w:pPr>
        <w:ind w:right="17" w:firstLine="283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Термін подання тендерних пропозицій: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 06 лютого 2025 року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Всі тендерні пропозиції, отримані організатором після кінцевого терміну їх подання, а саме після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23:59  0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лютого 2025 року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розгляду не підлягатимуть.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Деталізація послуг, які надає підрядник: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Надання не </w:t>
      </w:r>
      <w:r w:rsidDel="00000000" w:rsidR="00000000" w:rsidRPr="00000000">
        <w:rPr>
          <w:sz w:val="24"/>
          <w:szCs w:val="24"/>
          <w:rtl w:val="0"/>
        </w:rPr>
        <w:t xml:space="preserve">менше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4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унікальних (індивідуальних) правничих консультацій для внутрішньо переміщених осіб (ВПО) щомісяця;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Надання правничих консультацій ВПО у випадку повторного звернення бенефіціарів;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Складання документів правового характеру, в тому числі листів, запитів, звернень, скарг тощо; 4. Проведення тренінгів, вебінарів та семінарів на правничу тематику на вимогу Замовника, в тому числі участь в організації інших заходів в процесі реалізації проєкту;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 Моніторинг та аналіз законодавства на національному та місцевому рівнях та підготовка інформаційних довідок;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 Надання правничих консультацій на запит Замовника;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 Підготовка звітних матеріалів за результатами проведених заходів та реалізації Проєкту в цілому;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Вимоги до кваліфікації підрядника: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Повна вища юридична освіта.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Досвід надання послуг в даній сфері.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Розуміння місцевого контексту ВПО.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Обізнаність з гуманітарними принципами та стандартами прав людини.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 Розуміння контексту сфери забезпечення прав і свобод ВПО.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 Досвід співпраці із місцевими та регіональними органами влади.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 Впевнене користування ПК та мобільними пристроями.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 Впевнений користувач Microsoft Office та G-Suite.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9. Вміння дотримуватися дедлайнів.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9. Сильні комунікаційні навички.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Умови: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Між БО «БФ «ССС» та підрядником буде підписано угоду про надання послуг, в якому буде детально викладено умови співпраці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Вимоги до підрядника – учасника тендеру: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Обов’язкова реєстрація фізичною особою-підприємцем 3 групи, без ПДВ.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Наявність відповідних КВЕДів.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283" w:right="1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69.10 Діяльність у сфері права 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283" w:right="1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70.22 Консультування з питань комерційної діяльності й керування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283" w:right="1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85.59 "Iншi види освiти, н.в.i.у." та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283" w:right="1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82.30 "Органiзування конгресiв i торговельних виставок" бо юристи проводять вебінари та семінари. Також можна додати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283" w:right="1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63.99 "Надання iнших iнформацiйних послуг, н.в.i.у." бо ми часто залучаємо їх до збору певної інформації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Учасник тендеру надає організатору наступні документи: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Копія документу, що підтверджує державну реєстрацію;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Копія документу, що підтверджує податковий статус;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Тендерна пропозиція, заповнена за зразком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додається</w:t>
        </w:r>
      </w:hyperlink>
      <w:r w:rsidDel="00000000" w:rsidR="00000000" w:rsidRPr="00000000">
        <w:rPr>
          <w:sz w:val="24"/>
          <w:szCs w:val="2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Резюме.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right="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17" w:firstLine="283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У разі відсутності реєстрації фізичної особи-підприємця, учасник  надає організатору наступні документи:</w:t>
      </w:r>
    </w:p>
    <w:p w:rsidR="00000000" w:rsidDel="00000000" w:rsidP="00000000" w:rsidRDefault="00000000" w:rsidRPr="00000000" w14:paraId="00000033">
      <w:pPr>
        <w:tabs>
          <w:tab w:val="left" w:leader="none" w:pos="829"/>
          <w:tab w:val="left" w:leader="none" w:pos="830"/>
        </w:tabs>
        <w:ind w:right="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leader="none" w:pos="829"/>
          <w:tab w:val="left" w:leader="none" w:pos="830"/>
        </w:tabs>
        <w:ind w:left="720" w:right="1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Тендерна пропозиція, заповнена за зразком (вказавши в п4., що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“Готовий/а зареєструвати ФОП”</w:t>
      </w:r>
      <w:r w:rsidDel="00000000" w:rsidR="00000000" w:rsidRPr="00000000">
        <w:rPr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left" w:leader="none" w:pos="829"/>
          <w:tab w:val="left" w:leader="none" w:pos="830"/>
        </w:tabs>
        <w:ind w:left="720" w:right="1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Резюме.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Істотні критерії (умови) відбору тендерних пропозицій: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Відповідність учасника кваліфікаційним вимогам тендерного оголошення;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9"/>
          <w:tab w:val="left" w:leader="none" w:pos="830"/>
        </w:tabs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Відповідність поданих документів умовам тендерного оголошення;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 23:59  06 лютого  2025 року у письмовому (електронному, відсканованому) форматі з поміткою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Відкриті торги: Послуги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Регіонального/ої юриста/ки в ____________ області_IREX</w:t>
      </w:r>
      <w:r w:rsidDel="00000000" w:rsidR="00000000" w:rsidRPr="00000000">
        <w:rPr>
          <w:sz w:val="24"/>
          <w:szCs w:val="24"/>
          <w:rtl w:val="0"/>
        </w:rPr>
        <w:t xml:space="preserve">», на адресу: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procurement.advocacy@radnyk.org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Тендерна процедура: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0"/>
        </w:tabs>
        <w:spacing w:before="1" w:lineRule="auto"/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0"/>
        </w:tabs>
        <w:spacing w:before="1" w:lineRule="auto"/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0"/>
        </w:tabs>
        <w:spacing w:before="1" w:lineRule="auto"/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0"/>
        </w:tabs>
        <w:spacing w:before="1" w:lineRule="auto"/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відповідатиме професійному досвіду та компетенціям.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0"/>
        </w:tabs>
        <w:spacing w:before="1" w:lineRule="auto"/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Очікується, що співбесіди з підрядниками, які увійдуть до списку після первісного відбору, будуть проводитися особисто або за допомогою Teams/Zoom. Відповідь електронною поштою після остаточного туру співбесід отримають тільки ті підрядники, які пройшли відбір. Також відібрані підрядники, будуть сповіщені через електронну пошту, протягом 3 днів після кінцевого терміну подання тендерних пропозицій.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0"/>
        </w:tabs>
        <w:spacing w:before="1" w:lineRule="auto"/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Додаткові застереження: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0"/>
        </w:tabs>
        <w:spacing w:before="1" w:lineRule="auto"/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0"/>
        </w:tabs>
        <w:spacing w:before="1" w:lineRule="auto"/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0"/>
        </w:tabs>
        <w:spacing w:before="1" w:lineRule="auto"/>
        <w:ind w:left="0"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угоду про надання послуг, в якому буде детально викладено умови співпраці буде укладено.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Індивідуальний підхід та рівні можливості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БО «БФ «ССС» застосовує індивідуальний підхід та поважає права людини у всіх сферах її діяльності. БО «БФ «ССС» прагне створювати умови праці, що відповідають принципам гендерної рівності та культурно-особистісного різноманіття персоналу. Підрядники повинні поважати рівні права осіб та прагнути створити атмосферу, в якій відмінності людей підтримують та цінують.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7" w:firstLine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17" w:firstLine="283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Запитання  щодо  тендеру  можна  надсилати  в  електронному  вигляді  за  ел. адресою: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procurement.advocacy@radnyk.org до 31 січня 2025 року.</w:t>
      </w:r>
    </w:p>
    <w:sectPr>
      <w:headerReference r:id="rId8" w:type="default"/>
      <w:pgSz w:h="15840" w:w="12240" w:orient="portrait"/>
      <w:pgMar w:bottom="280" w:top="851" w:left="1420" w:right="7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64" w:hanging="720"/>
      </w:pPr>
      <w:rPr/>
    </w:lvl>
    <w:lvl w:ilvl="2">
      <w:start w:val="0"/>
      <w:numFmt w:val="bullet"/>
      <w:lvlText w:val="•"/>
      <w:lvlJc w:val="left"/>
      <w:pPr>
        <w:ind w:left="2688" w:hanging="720"/>
      </w:pPr>
      <w:rPr/>
    </w:lvl>
    <w:lvl w:ilvl="3">
      <w:start w:val="0"/>
      <w:numFmt w:val="bullet"/>
      <w:lvlText w:val="•"/>
      <w:lvlJc w:val="left"/>
      <w:pPr>
        <w:ind w:left="3612" w:hanging="720"/>
      </w:pPr>
      <w:rPr/>
    </w:lvl>
    <w:lvl w:ilvl="4">
      <w:start w:val="0"/>
      <w:numFmt w:val="bullet"/>
      <w:lvlText w:val="•"/>
      <w:lvlJc w:val="left"/>
      <w:pPr>
        <w:ind w:left="4536" w:hanging="720"/>
      </w:pPr>
      <w:rPr/>
    </w:lvl>
    <w:lvl w:ilvl="5">
      <w:start w:val="0"/>
      <w:numFmt w:val="bullet"/>
      <w:lvlText w:val="•"/>
      <w:lvlJc w:val="left"/>
      <w:pPr>
        <w:ind w:left="5460" w:hanging="720"/>
      </w:pPr>
      <w:rPr/>
    </w:lvl>
    <w:lvl w:ilvl="6">
      <w:start w:val="0"/>
      <w:numFmt w:val="bullet"/>
      <w:lvlText w:val="•"/>
      <w:lvlJc w:val="left"/>
      <w:pPr>
        <w:ind w:left="6384" w:hanging="720"/>
      </w:pPr>
      <w:rPr/>
    </w:lvl>
    <w:lvl w:ilvl="7">
      <w:start w:val="0"/>
      <w:numFmt w:val="bullet"/>
      <w:lvlText w:val="•"/>
      <w:lvlJc w:val="left"/>
      <w:pPr>
        <w:ind w:left="7308" w:hanging="720"/>
      </w:pPr>
      <w:rPr/>
    </w:lvl>
    <w:lvl w:ilvl="8">
      <w:start w:val="0"/>
      <w:numFmt w:val="bullet"/>
      <w:lvlText w:val="•"/>
      <w:lvlJc w:val="left"/>
      <w:pPr>
        <w:ind w:left="8232" w:hanging="7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110" w:hanging="720"/>
      </w:pPr>
      <w:rPr>
        <w:rFonts w:ascii="Helvetica Neue" w:cs="Helvetica Neue" w:eastAsia="Helvetica Neue" w:hAnsi="Helvetica Neue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866" w:hanging="720"/>
      </w:pPr>
      <w:rPr/>
    </w:lvl>
    <w:lvl w:ilvl="3">
      <w:start w:val="0"/>
      <w:numFmt w:val="bullet"/>
      <w:lvlText w:val="•"/>
      <w:lvlJc w:val="left"/>
      <w:pPr>
        <w:ind w:left="2893" w:hanging="720"/>
      </w:pPr>
      <w:rPr/>
    </w:lvl>
    <w:lvl w:ilvl="4">
      <w:start w:val="0"/>
      <w:numFmt w:val="bullet"/>
      <w:lvlText w:val="•"/>
      <w:lvlJc w:val="left"/>
      <w:pPr>
        <w:ind w:left="3920" w:hanging="720"/>
      </w:pPr>
      <w:rPr/>
    </w:lvl>
    <w:lvl w:ilvl="5">
      <w:start w:val="0"/>
      <w:numFmt w:val="bullet"/>
      <w:lvlText w:val="•"/>
      <w:lvlJc w:val="left"/>
      <w:pPr>
        <w:ind w:left="4946" w:hanging="720"/>
      </w:pPr>
      <w:rPr/>
    </w:lvl>
    <w:lvl w:ilvl="6">
      <w:start w:val="0"/>
      <w:numFmt w:val="bullet"/>
      <w:lvlText w:val="•"/>
      <w:lvlJc w:val="left"/>
      <w:pPr>
        <w:ind w:left="5973" w:hanging="720"/>
      </w:pPr>
      <w:rPr/>
    </w:lvl>
    <w:lvl w:ilvl="7">
      <w:start w:val="0"/>
      <w:numFmt w:val="bullet"/>
      <w:lvlText w:val="•"/>
      <w:lvlJc w:val="left"/>
      <w:pPr>
        <w:ind w:left="7000" w:hanging="720"/>
      </w:pPr>
      <w:rPr/>
    </w:lvl>
    <w:lvl w:ilvl="8">
      <w:start w:val="0"/>
      <w:numFmt w:val="bullet"/>
      <w:lvlText w:val="•"/>
      <w:lvlJc w:val="left"/>
      <w:pPr>
        <w:ind w:left="8026" w:hanging="72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64" w:hanging="720"/>
      </w:pPr>
      <w:rPr/>
    </w:lvl>
    <w:lvl w:ilvl="2">
      <w:start w:val="0"/>
      <w:numFmt w:val="bullet"/>
      <w:lvlText w:val="•"/>
      <w:lvlJc w:val="left"/>
      <w:pPr>
        <w:ind w:left="2688" w:hanging="720"/>
      </w:pPr>
      <w:rPr/>
    </w:lvl>
    <w:lvl w:ilvl="3">
      <w:start w:val="0"/>
      <w:numFmt w:val="bullet"/>
      <w:lvlText w:val="•"/>
      <w:lvlJc w:val="left"/>
      <w:pPr>
        <w:ind w:left="3612" w:hanging="720"/>
      </w:pPr>
      <w:rPr/>
    </w:lvl>
    <w:lvl w:ilvl="4">
      <w:start w:val="0"/>
      <w:numFmt w:val="bullet"/>
      <w:lvlText w:val="•"/>
      <w:lvlJc w:val="left"/>
      <w:pPr>
        <w:ind w:left="4536" w:hanging="720"/>
      </w:pPr>
      <w:rPr/>
    </w:lvl>
    <w:lvl w:ilvl="5">
      <w:start w:val="0"/>
      <w:numFmt w:val="bullet"/>
      <w:lvlText w:val="•"/>
      <w:lvlJc w:val="left"/>
      <w:pPr>
        <w:ind w:left="5460" w:hanging="720"/>
      </w:pPr>
      <w:rPr/>
    </w:lvl>
    <w:lvl w:ilvl="6">
      <w:start w:val="0"/>
      <w:numFmt w:val="bullet"/>
      <w:lvlText w:val="•"/>
      <w:lvlJc w:val="left"/>
      <w:pPr>
        <w:ind w:left="6384" w:hanging="720"/>
      </w:pPr>
      <w:rPr/>
    </w:lvl>
    <w:lvl w:ilvl="7">
      <w:start w:val="0"/>
      <w:numFmt w:val="bullet"/>
      <w:lvlText w:val="•"/>
      <w:lvlJc w:val="left"/>
      <w:pPr>
        <w:ind w:left="7308" w:hanging="720"/>
      </w:pPr>
      <w:rPr/>
    </w:lvl>
    <w:lvl w:ilvl="8">
      <w:start w:val="0"/>
      <w:numFmt w:val="bullet"/>
      <w:lvlText w:val="•"/>
      <w:lvlJc w:val="left"/>
      <w:pPr>
        <w:ind w:left="8232" w:hanging="7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3901" w:right="62" w:hanging="3775"/>
    </w:pPr>
    <w:rPr>
      <w:b w:val="1"/>
      <w:sz w:val="24"/>
      <w:szCs w:val="24"/>
    </w:rPr>
  </w:style>
  <w:style w:type="paragraph" w:styleId="a" w:default="1">
    <w:name w:val="Normal"/>
    <w:qFormat w:val="1"/>
    <w:rPr>
      <w:lang w:eastAsia="en-US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uiPriority w:val="10"/>
    <w:qFormat w:val="1"/>
    <w:pPr>
      <w:spacing w:before="74"/>
      <w:ind w:left="3901" w:right="62" w:hanging="3775"/>
    </w:pPr>
    <w:rPr>
      <w:b w:val="1"/>
      <w:bCs w:val="1"/>
      <w:sz w:val="24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pPr>
      <w:ind w:left="110"/>
    </w:pPr>
    <w:rPr>
      <w:sz w:val="24"/>
      <w:szCs w:val="24"/>
    </w:rPr>
  </w:style>
  <w:style w:type="paragraph" w:styleId="a5">
    <w:name w:val="List Paragraph"/>
    <w:basedOn w:val="a"/>
    <w:uiPriority w:val="1"/>
    <w:qFormat w:val="1"/>
    <w:pPr>
      <w:ind w:left="830" w:hanging="720"/>
      <w:jc w:val="both"/>
    </w:pPr>
  </w:style>
  <w:style w:type="paragraph" w:styleId="TableParagraph" w:customStyle="1">
    <w:name w:val="Table Paragraph"/>
    <w:basedOn w:val="a"/>
    <w:uiPriority w:val="1"/>
    <w:qFormat w:val="1"/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7">
    <w:name w:val="Normal (Web)"/>
    <w:basedOn w:val="a"/>
    <w:uiPriority w:val="99"/>
    <w:semiHidden w:val="1"/>
    <w:unhideWhenUsed w:val="1"/>
    <w:rsid w:val="00F608A8"/>
    <w:pPr>
      <w:widowControl w:val="1"/>
      <w:spacing w:after="100" w:afterAutospacing="1" w:before="100" w:beforeAutospacing="1"/>
    </w:pPr>
    <w:rPr>
      <w:sz w:val="24"/>
      <w:szCs w:val="24"/>
      <w:lang w:eastAsia="ru-RU" w:val="ru-RU"/>
    </w:rPr>
  </w:style>
  <w:style w:type="character" w:styleId="im" w:customStyle="1">
    <w:name w:val="im"/>
    <w:basedOn w:val="a0"/>
    <w:rsid w:val="007B6CDC"/>
  </w:style>
  <w:style w:type="numbering" w:styleId="10" w:customStyle="1">
    <w:name w:val="Поточний список1"/>
    <w:uiPriority w:val="99"/>
    <w:rsid w:val="000F5FA1"/>
  </w:style>
  <w:style w:type="character" w:styleId="a8">
    <w:name w:val="Hyperlink"/>
    <w:basedOn w:val="a0"/>
    <w:uiPriority w:val="99"/>
    <w:unhideWhenUsed w:val="1"/>
    <w:rsid w:val="00F94D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F94DC2"/>
    <w:rPr>
      <w:color w:val="605e5c"/>
      <w:shd w:color="auto" w:fill="e1dfdd" w:val="clear"/>
    </w:rPr>
  </w:style>
  <w:style w:type="character" w:styleId="aa">
    <w:name w:val="FollowedHyperlink"/>
    <w:basedOn w:val="a0"/>
    <w:uiPriority w:val="99"/>
    <w:semiHidden w:val="1"/>
    <w:unhideWhenUsed w:val="1"/>
    <w:rsid w:val="00F94DC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vzcEg_UPNbOKgmHnORukk2foXG0kFTKE/edit?usp=drive_link&amp;ouid=110133099744299854956&amp;rtpof=true&amp;sd=tru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jW7kJMk0CcMY0o9DRgSs0n/lw==">CgMxLjAyCGguZ2pkZ3hzMgloLjMwajB6bGw4AHIhMXNCY2NORFZzZ3RDQTUwZTZGeVpzc1dnRUEzQzhpN09G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2024-12-06T15:51:00Z</dcterms:created>
  <dc:creator>Proliska1430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